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23"/>
      </w:pPr>
      <w:r>
        <w:rPr>
          <w:w w:val="105"/>
        </w:rPr>
        <w:t>Município: SÃO JOSÉ DO HERVAL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5"/>
        <w:rPr>
          <w:sz w:val="16"/>
        </w:rPr>
      </w:pPr>
    </w:p>
    <w:p>
      <w:pPr>
        <w:pStyle w:val="BodyText"/>
        <w:ind w:left="123"/>
      </w:pPr>
      <w:r>
        <w:rPr>
          <w:w w:val="105"/>
        </w:rPr>
        <w:t>Período: Exercício de 2017</w:t>
      </w:r>
    </w:p>
    <w:p>
      <w:pPr>
        <w:pStyle w:val="BodyText"/>
        <w:spacing w:before="86"/>
        <w:ind w:left="131" w:right="47"/>
        <w:jc w:val="center"/>
      </w:pPr>
      <w:r>
        <w:rPr/>
        <w:br w:type="column"/>
      </w:r>
      <w:r>
        <w:rPr>
          <w:w w:val="105"/>
        </w:rPr>
        <w:t>UF: Estado do Rio Grande do Sul</w:t>
      </w:r>
    </w:p>
    <w:p>
      <w:pPr>
        <w:spacing w:before="98"/>
        <w:ind w:left="131" w:right="48" w:firstLine="0"/>
        <w:jc w:val="center"/>
        <w:rPr>
          <w:b/>
          <w:sz w:val="15"/>
        </w:rPr>
      </w:pPr>
      <w:r>
        <w:rPr>
          <w:b/>
          <w:sz w:val="15"/>
        </w:rPr>
        <w:t>DEMONSTRAÇÃO DOS FLUXOS DE CAIXA</w:t>
      </w:r>
    </w:p>
    <w:p>
      <w:pPr>
        <w:pStyle w:val="BodyText"/>
        <w:spacing w:before="86"/>
        <w:ind w:left="124"/>
      </w:pPr>
      <w:r>
        <w:rPr/>
        <w:br w:type="column"/>
      </w:r>
      <w:r>
        <w:rPr>
          <w:w w:val="105"/>
        </w:rPr>
        <w:t>Página 1 de 1</w:t>
      </w:r>
    </w:p>
    <w:p>
      <w:pPr>
        <w:spacing w:after="0"/>
        <w:sectPr>
          <w:type w:val="continuous"/>
          <w:pgSz w:w="11910" w:h="16840"/>
          <w:pgMar w:top="480" w:bottom="280" w:left="460" w:right="440"/>
          <w:cols w:num="3" w:equalWidth="0">
            <w:col w:w="1986" w:space="1817"/>
            <w:col w:w="3295" w:space="2933"/>
            <w:col w:w="979"/>
          </w:cols>
        </w:sectPr>
      </w:pPr>
    </w:p>
    <w:p>
      <w:pPr>
        <w:pStyle w:val="BodyText"/>
        <w:spacing w:before="101"/>
        <w:ind w:left="123"/>
      </w:pPr>
      <w:r>
        <w:rPr>
          <w:w w:val="105"/>
        </w:rPr>
        <w:t>Unidade Gestora: 0001 - CAM. MUN. VEREADORES SÃO JOSÉ DO HERVAL</w:t>
      </w:r>
    </w:p>
    <w:p>
      <w:pPr>
        <w:spacing w:line="240" w:lineRule="auto"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794"/>
        <w:gridCol w:w="2835"/>
      </w:tblGrid>
      <w:tr>
        <w:trPr>
          <w:trHeight w:val="438" w:hRule="atLeast"/>
        </w:trPr>
        <w:tc>
          <w:tcPr>
            <w:tcW w:w="7143" w:type="dxa"/>
            <w:shd w:val="clear" w:color="auto" w:fill="D7D7D7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OPERACIONAIS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right="2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414.746,09</w:t>
            </w:r>
          </w:p>
        </w:tc>
      </w:tr>
      <w:tr>
        <w:trPr>
          <w:trHeight w:val="211" w:hRule="atLeast"/>
        </w:trPr>
        <w:tc>
          <w:tcPr>
            <w:tcW w:w="714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correntes e recebidas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414.746,09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405.876,54</w:t>
            </w:r>
          </w:p>
        </w:tc>
      </w:tr>
      <w:tr>
        <w:trPr>
          <w:trHeight w:val="211" w:hRule="atLeast"/>
        </w:trPr>
        <w:tc>
          <w:tcPr>
            <w:tcW w:w="714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Pessoal e demais despesas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3FC</w:t>
            </w: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387.002,35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concedidas</w:t>
            </w:r>
          </w:p>
        </w:tc>
        <w:tc>
          <w:tcPr>
            <w:tcW w:w="794" w:type="dxa"/>
          </w:tcPr>
          <w:p>
            <w:pPr>
              <w:pStyle w:val="TableParagraph"/>
              <w:ind w:right="2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18.874,19</w:t>
            </w:r>
          </w:p>
        </w:tc>
      </w:tr>
      <w:tr>
        <w:trPr>
          <w:trHeight w:val="211" w:hRule="atLeast"/>
        </w:trPr>
        <w:tc>
          <w:tcPr>
            <w:tcW w:w="7143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operacionais (I)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8.869,55</w:t>
            </w:r>
          </w:p>
        </w:tc>
      </w:tr>
      <w:tr>
        <w:trPr>
          <w:trHeight w:val="438" w:hRule="atLeast"/>
        </w:trPr>
        <w:tc>
          <w:tcPr>
            <w:tcW w:w="7143" w:type="dxa"/>
            <w:shd w:val="clear" w:color="auto" w:fill="D7D7D7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INVESTIMENTO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right="2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3.830,00</w:t>
            </w:r>
          </w:p>
        </w:tc>
      </w:tr>
      <w:tr>
        <w:trPr>
          <w:trHeight w:val="211" w:hRule="atLeast"/>
        </w:trPr>
        <w:tc>
          <w:tcPr>
            <w:tcW w:w="714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Aquisição de ativo não circulante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de investimento (II)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(3.830,00)</w:t>
            </w:r>
          </w:p>
        </w:tc>
      </w:tr>
      <w:tr>
        <w:trPr>
          <w:trHeight w:val="438" w:hRule="atLeast"/>
        </w:trPr>
        <w:tc>
          <w:tcPr>
            <w:tcW w:w="714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right="2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 LÍQUIDA DE CAIXA E EQUIVALENTE DE CAIXA (I + II + III)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5.039,55</w:t>
            </w:r>
          </w:p>
        </w:tc>
      </w:tr>
      <w:tr>
        <w:trPr>
          <w:trHeight w:val="211" w:hRule="atLeast"/>
        </w:trPr>
        <w:tc>
          <w:tcPr>
            <w:tcW w:w="7143" w:type="dxa"/>
            <w:shd w:val="clear" w:color="auto" w:fill="DFDFDF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inicial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165,86</w:t>
            </w:r>
          </w:p>
        </w:tc>
      </w:tr>
      <w:tr>
        <w:trPr>
          <w:trHeight w:val="211" w:hRule="atLeast"/>
        </w:trPr>
        <w:tc>
          <w:tcPr>
            <w:tcW w:w="7143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final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5.205,41</w:t>
            </w:r>
          </w:p>
        </w:tc>
      </w:tr>
    </w:tbl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7"/>
        <w:gridCol w:w="2835"/>
      </w:tblGrid>
      <w:tr>
        <w:trPr>
          <w:trHeight w:val="211" w:hRule="atLeast"/>
        </w:trPr>
        <w:tc>
          <w:tcPr>
            <w:tcW w:w="10772" w:type="dxa"/>
            <w:gridSpan w:val="2"/>
            <w:shd w:val="clear" w:color="auto" w:fill="D7D7D7"/>
          </w:tcPr>
          <w:p>
            <w:pPr>
              <w:pStyle w:val="TableParagraph"/>
              <w:spacing w:before="28"/>
              <w:ind w:left="33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2FC - TRANSFERÊNCIAS RECEBIDAS E CONCEDIDAS</w:t>
            </w:r>
          </w:p>
        </w:tc>
      </w:tr>
      <w:tr>
        <w:trPr>
          <w:trHeight w:val="438" w:hRule="atLeast"/>
        </w:trPr>
        <w:tc>
          <w:tcPr>
            <w:tcW w:w="7937" w:type="dxa"/>
            <w:shd w:val="clear" w:color="auto" w:fill="D7D7D7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CORRENTES RECEBIDAS</w:t>
            </w: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>
        <w:trPr>
          <w:trHeight w:val="211" w:hRule="atLeast"/>
        </w:trPr>
        <w:tc>
          <w:tcPr>
            <w:tcW w:w="7937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414.746,09</w:t>
            </w:r>
          </w:p>
        </w:tc>
      </w:tr>
      <w:tr>
        <w:trPr>
          <w:trHeight w:val="211" w:hRule="atLeast"/>
        </w:trPr>
        <w:tc>
          <w:tcPr>
            <w:tcW w:w="7937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recebidas</w:t>
            </w: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414.746,09</w:t>
            </w:r>
          </w:p>
        </w:tc>
      </w:tr>
      <w:tr>
        <w:trPr>
          <w:trHeight w:val="438" w:hRule="atLeast"/>
        </w:trPr>
        <w:tc>
          <w:tcPr>
            <w:tcW w:w="7937" w:type="dxa"/>
            <w:shd w:val="clear" w:color="auto" w:fill="D7D7D7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CONCEDIDAS</w:t>
            </w: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>
        <w:trPr>
          <w:trHeight w:val="211" w:hRule="atLeast"/>
        </w:trPr>
        <w:tc>
          <w:tcPr>
            <w:tcW w:w="7937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18.874,19</w:t>
            </w:r>
          </w:p>
        </w:tc>
      </w:tr>
      <w:tr>
        <w:trPr>
          <w:trHeight w:val="211" w:hRule="atLeast"/>
        </w:trPr>
        <w:tc>
          <w:tcPr>
            <w:tcW w:w="7937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concedidas</w:t>
            </w: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18.874,19</w:t>
            </w:r>
          </w:p>
        </w:tc>
      </w:tr>
    </w:tbl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7"/>
        <w:gridCol w:w="2835"/>
      </w:tblGrid>
      <w:tr>
        <w:trPr>
          <w:trHeight w:val="211" w:hRule="atLeast"/>
        </w:trPr>
        <w:tc>
          <w:tcPr>
            <w:tcW w:w="10772" w:type="dxa"/>
            <w:gridSpan w:val="2"/>
            <w:shd w:val="clear" w:color="auto" w:fill="D7D7D7"/>
          </w:tcPr>
          <w:p>
            <w:pPr>
              <w:pStyle w:val="TableParagraph"/>
              <w:spacing w:before="28"/>
              <w:ind w:left="27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>
        <w:trPr>
          <w:trHeight w:val="438" w:hRule="atLeast"/>
        </w:trPr>
        <w:tc>
          <w:tcPr>
            <w:tcW w:w="79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1161" w:right="11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</w:tr>
      <w:tr>
        <w:trPr>
          <w:trHeight w:val="211" w:hRule="atLeast"/>
        </w:trPr>
        <w:tc>
          <w:tcPr>
            <w:tcW w:w="7937" w:type="dxa"/>
          </w:tcPr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Legislativa</w:t>
            </w:r>
          </w:p>
        </w:tc>
        <w:tc>
          <w:tcPr>
            <w:tcW w:w="2835" w:type="dxa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387.002,35</w:t>
            </w:r>
          </w:p>
        </w:tc>
      </w:tr>
      <w:tr>
        <w:trPr>
          <w:trHeight w:val="211" w:hRule="atLeast"/>
        </w:trPr>
        <w:tc>
          <w:tcPr>
            <w:tcW w:w="7937" w:type="dxa"/>
            <w:shd w:val="clear" w:color="auto" w:fill="DFDFDF"/>
          </w:tcPr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Desembolsos de Pessoal e Demais Despesas por Função</w:t>
            </w:r>
          </w:p>
        </w:tc>
        <w:tc>
          <w:tcPr>
            <w:tcW w:w="2835" w:type="dxa"/>
            <w:shd w:val="clear" w:color="auto" w:fill="DFDFDF"/>
          </w:tcPr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387.002,35</w:t>
            </w:r>
          </w:p>
        </w:tc>
      </w:tr>
    </w:tbl>
    <w:p>
      <w:pPr>
        <w:spacing w:line="240" w:lineRule="auto" w:before="0"/>
        <w:rPr>
          <w:sz w:val="12"/>
        </w:rPr>
      </w:pPr>
    </w:p>
    <w:p>
      <w:pPr>
        <w:spacing w:line="247" w:lineRule="auto" w:before="98"/>
        <w:ind w:left="123" w:right="6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(bancos). Os valores apresentados consideram a movimentação das contas Intra</w:t>
      </w:r>
      <w:r>
        <w:rPr>
          <w:spacing w:val="-15"/>
          <w:w w:val="105"/>
          <w:sz w:val="13"/>
        </w:rPr>
        <w:t> </w:t>
      </w:r>
      <w:r>
        <w:rPr>
          <w:w w:val="105"/>
          <w:sz w:val="13"/>
        </w:rPr>
        <w:t>OFSS.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132.683807pt,11.7076pt" to="280.877775pt,11.7076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298.125061pt,11.7076pt" to="446.454937pt,11.7076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6468" w:val="left" w:leader="none"/>
        </w:tabs>
        <w:spacing w:line="100" w:lineRule="exact"/>
        <w:ind w:left="2193"/>
        <w:rPr>
          <w:rFonts w:ascii="Lucida Console"/>
        </w:rPr>
      </w:pPr>
      <w:r>
        <w:rPr>
          <w:rFonts w:ascii="Lucida Console"/>
          <w:w w:val="105"/>
        </w:rPr>
        <w:t>LAURO RODRIGUES VIEIRA -</w:t>
      </w:r>
      <w:r>
        <w:rPr>
          <w:rFonts w:ascii="Lucida Console"/>
          <w:spacing w:val="-42"/>
          <w:w w:val="105"/>
        </w:rPr>
        <w:t> </w:t>
      </w:r>
      <w:r>
        <w:rPr>
          <w:rFonts w:ascii="Lucida Console"/>
          <w:w w:val="105"/>
        </w:rPr>
        <w:t>PREFEITO</w:t>
      </w:r>
      <w:r>
        <w:rPr>
          <w:rFonts w:ascii="Lucida Console"/>
          <w:spacing w:val="-10"/>
          <w:w w:val="105"/>
        </w:rPr>
        <w:t> </w:t>
      </w:r>
      <w:r>
        <w:rPr>
          <w:rFonts w:ascii="Lucida Console"/>
          <w:w w:val="105"/>
        </w:rPr>
        <w:t>MUNICIPAL</w:t>
        <w:tab/>
        <w:t>EDGAR LUIZ</w:t>
      </w:r>
      <w:r>
        <w:rPr>
          <w:rFonts w:ascii="Lucida Console"/>
          <w:spacing w:val="-4"/>
          <w:w w:val="105"/>
        </w:rPr>
        <w:t> </w:t>
      </w:r>
      <w:r>
        <w:rPr>
          <w:rFonts w:ascii="Lucida Console"/>
          <w:w w:val="105"/>
        </w:rPr>
        <w:t>ROMAN</w:t>
      </w:r>
    </w:p>
    <w:p>
      <w:pPr>
        <w:pStyle w:val="BodyText"/>
        <w:tabs>
          <w:tab w:pos="7435" w:val="right" w:leader="none"/>
        </w:tabs>
        <w:spacing w:before="4"/>
        <w:ind w:left="3159"/>
        <w:rPr>
          <w:rFonts w:ascii="Lucida Console"/>
        </w:rPr>
      </w:pPr>
      <w:r>
        <w:rPr>
          <w:rFonts w:ascii="Lucida Console"/>
          <w:w w:val="105"/>
        </w:rPr>
        <w:t>CPF</w:t>
      </w:r>
      <w:r>
        <w:rPr>
          <w:rFonts w:ascii="Lucida Console"/>
          <w:spacing w:val="-3"/>
          <w:w w:val="105"/>
        </w:rPr>
        <w:t> </w:t>
      </w:r>
      <w:r>
        <w:rPr>
          <w:rFonts w:ascii="Lucida Console"/>
          <w:w w:val="105"/>
        </w:rPr>
        <w:t>44866771020</w:t>
        <w:tab/>
        <w:t>209.413.740-68</w:t>
      </w:r>
    </w:p>
    <w:p>
      <w:pPr>
        <w:pStyle w:val="BodyText"/>
        <w:spacing w:before="5"/>
        <w:ind w:left="6588" w:right="3686"/>
        <w:jc w:val="center"/>
        <w:rPr>
          <w:rFonts w:ascii="Lucida Console"/>
        </w:rPr>
      </w:pPr>
      <w:r>
        <w:rPr>
          <w:rFonts w:ascii="Lucida Console"/>
          <w:w w:val="105"/>
        </w:rPr>
        <w:t>TESOUREIRO</w:t>
      </w: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rPr>
          <w:rFonts w:ascii="Lucida Console"/>
          <w:sz w:val="12"/>
        </w:rPr>
      </w:pPr>
    </w:p>
    <w:p>
      <w:pPr>
        <w:pStyle w:val="BodyText"/>
        <w:tabs>
          <w:tab w:pos="9173" w:val="left" w:leader="none"/>
        </w:tabs>
        <w:spacing w:before="61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17/10/2018</w:t>
      </w:r>
      <w:r>
        <w:rPr>
          <w:spacing w:val="-13"/>
          <w:w w:val="105"/>
        </w:rPr>
        <w:t> </w:t>
      </w:r>
      <w:r>
        <w:rPr>
          <w:w w:val="105"/>
        </w:rPr>
        <w:t>15:03:50</w:t>
      </w:r>
    </w:p>
    <w:sectPr>
      <w:type w:val="continuous"/>
      <w:pgSz w:w="11910" w:h="16840"/>
      <w:pgMar w:top="4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Console">
    <w:altName w:val="Lucida Console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CP920002</dc:subject>
  <dc:title>Report</dc:title>
  <dcterms:created xsi:type="dcterms:W3CDTF">2018-10-26T15:55:39Z</dcterms:created>
  <dcterms:modified xsi:type="dcterms:W3CDTF">2018-10-26T15:55:39Z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2018-10-26T00:00:00Z</vt:filetime>
  </property>
</Properties>
</file>