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"/>
        <w:gridCol w:w="58"/>
        <w:gridCol w:w="57"/>
        <w:gridCol w:w="57"/>
        <w:gridCol w:w="43"/>
        <w:gridCol w:w="15"/>
        <w:gridCol w:w="257"/>
        <w:gridCol w:w="58"/>
        <w:gridCol w:w="2278"/>
        <w:gridCol w:w="29"/>
        <w:gridCol w:w="14"/>
        <w:gridCol w:w="244"/>
        <w:gridCol w:w="372"/>
        <w:gridCol w:w="57"/>
        <w:gridCol w:w="58"/>
        <w:gridCol w:w="444"/>
        <w:gridCol w:w="57"/>
        <w:gridCol w:w="229"/>
        <w:gridCol w:w="1018"/>
        <w:gridCol w:w="14"/>
        <w:gridCol w:w="57"/>
        <w:gridCol w:w="58"/>
        <w:gridCol w:w="57"/>
        <w:gridCol w:w="57"/>
        <w:gridCol w:w="1505"/>
        <w:gridCol w:w="673"/>
        <w:gridCol w:w="416"/>
        <w:gridCol w:w="28"/>
        <w:gridCol w:w="15"/>
        <w:gridCol w:w="14"/>
        <w:gridCol w:w="43"/>
        <w:gridCol w:w="14"/>
        <w:gridCol w:w="172"/>
        <w:gridCol w:w="430"/>
        <w:gridCol w:w="229"/>
        <w:gridCol w:w="115"/>
        <w:gridCol w:w="215"/>
        <w:gridCol w:w="1189"/>
        <w:gridCol w:w="57"/>
      </w:tblGrid>
      <w:tr>
        <w:trPr>
          <w:trHeight w:hRule="exact" w:val="229"/>
        </w:trPr>
        <w:tc>
          <w:tcPr>
            <w:tcW w:w="559" w:type="dxa"/>
            <w:gridSpan w:val="8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</w:t>
            </w:r>
          </w:p>
        </w:tc>
        <w:tc>
          <w:tcPr>
            <w:tcW w:w="293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SÃO JOSÉ DO HERVAL</w:t>
            </w:r>
          </w:p>
        </w:tc>
        <w:tc>
          <w:tcPr>
            <w:tcW w:w="115" w:type="dxa"/>
            <w:gridSpan w:val="2"/>
          </w:tcPr>
          <w:p>
     </w:p>
        </w:tc>
        <w:tc>
          <w:tcPr>
            <w:tcW w:w="3496" w:type="dxa"/>
            <w:gridSpan w:val="10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2034" w:type="dxa"/>
            <w:gridSpan w:val="10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2</w:t>
            </w:r>
          </w:p>
        </w:tc>
      </w:tr>
      <w:tr>
        <w:trPr>
          <w:trHeight w:hRule="exact" w:val="115"/>
        </w:trPr>
        <w:tc>
          <w:tcPr>
            <w:tcW w:w="3611" w:type="dxa"/>
            <w:gridSpan w:val="15"/>
          </w:tcPr>
          <w:p>
     </w:p>
        </w:tc>
        <w:tc>
          <w:tcPr>
            <w:tcW w:w="3496" w:type="dxa"/>
            <w:gridSpan w:val="10"/>
            <w:vMerge w:val="restart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3610" w:type="dxa"/>
            <w:gridSpan w:val="14"/>
          </w:tcPr>
          <w:p>
     </w:p>
        </w:tc>
      </w:tr>
      <w:tr>
        <w:trPr>
          <w:trHeight w:hRule="exact" w:val="100"/>
        </w:trPr>
        <w:tc>
          <w:tcPr>
            <w:tcW w:w="501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</w:t>
            </w:r>
          </w:p>
        </w:tc>
        <w:tc>
          <w:tcPr>
            <w:tcW w:w="3052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Exercício de 2017</w:t>
            </w:r>
          </w:p>
        </w:tc>
        <w:tc>
          <w:tcPr>
            <w:tcW w:w="58" w:type="dxa"/>
          </w:tcPr>
          <w:p>
     </w:p>
        </w:tc>
        <w:tc>
          <w:tcPr>
            <w:tcW w:w="3496" w:type="dxa"/>
            <w:gridSpan w:val="10"/>
            <w:vMerge/>
            <w:shd w:val="clear" w:color="auto" w:fill="FFFFFF"/>
          </w:tcPr>
          <w:p>
     </w:p>
        </w:tc>
        <w:tc>
          <w:tcPr>
            <w:tcW w:w="3610" w:type="dxa"/>
            <w:gridSpan w:val="14"/>
          </w:tcPr>
          <w:p>
     </w:p>
        </w:tc>
      </w:tr>
      <w:tr>
        <w:trPr>
          <w:trHeight w:hRule="exact" w:val="115"/>
        </w:trPr>
        <w:tc>
          <w:tcPr>
            <w:tcW w:w="501" w:type="dxa"/>
            <w:gridSpan w:val="7"/>
            <w:vMerge/>
            <w:shd w:val="clear" w:color="auto" w:fill="FFFFFF"/>
          </w:tcPr>
          <w:p>
     </w:p>
        </w:tc>
        <w:tc>
          <w:tcPr>
            <w:tcW w:w="3052" w:type="dxa"/>
            <w:gridSpan w:val="7"/>
            <w:vMerge/>
            <w:shd w:val="clear" w:color="auto" w:fill="FFFFFF"/>
          </w:tcPr>
          <w:p>
     </w:p>
        </w:tc>
        <w:tc>
          <w:tcPr>
            <w:tcW w:w="7164" w:type="dxa"/>
            <w:gridSpan w:val="25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9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0001 - CAM. MUN. VEREADORES SÃO JOSÉ DO HERVAL</w:t>
            </w:r>
          </w:p>
        </w:tc>
      </w:tr>
      <w:tr>
        <w:trPr>
          <w:trHeight w:hRule="exact" w:val="229"/>
        </w:trPr>
        <w:tc>
          <w:tcPr>
            <w:tcW w:w="5359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</w:t>
            </w:r>
          </w:p>
        </w:tc>
        <w:tc>
          <w:tcPr>
            <w:tcW w:w="53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E PATRIMÔNIO LÍQUIDO</w:t>
            </w:r>
          </w:p>
        </w:tc>
      </w:tr>
      <w:tr>
        <w:trPr>
          <w:trHeight w:hRule="exact" w:val="330"/>
        </w:trPr>
        <w:tc>
          <w:tcPr>
            <w:tcW w:w="2880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  <w:tc>
          <w:tcPr>
            <w:tcW w:w="2880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344"/>
        </w:trPr>
        <w:tc>
          <w:tcPr>
            <w:tcW w:w="72" w:type="dxa"/>
            <w:gridSpan w:val="2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65" w:type="dxa"/>
            <w:gridSpan w:val="7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CIRCULANTE</w:t>
            </w: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" w:type="dxa"/>
            <w:tcBorders>
              <w:top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6.270,41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1.000,86</w:t>
            </w:r>
          </w:p>
        </w:tc>
        <w:tc>
          <w:tcPr>
            <w:tcW w:w="71" w:type="dxa"/>
            <w:gridSpan w:val="2"/>
            <w:tcBorders>
              <w:top w:val="single" w:sz="5" w:space="0" w:color="000000"/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66" w:type="dxa"/>
            <w:gridSpan w:val="6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CIRCULANTE</w:t>
            </w:r>
          </w:p>
        </w:tc>
        <w:tc>
          <w:tcPr>
            <w:tcW w:w="2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tcBorders>
              <w:top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5.010,41</w:t>
            </w:r>
          </w:p>
        </w:tc>
        <w:tc>
          <w:tcPr>
            <w:tcW w:w="1189" w:type="dxa"/>
            <w:vAlign w:val="center"/>
            <w:tcBorders>
              <w:top w:val="single" w:sz="5" w:space="0" w:color="000000"/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163,20</w:t>
            </w:r>
          </w:p>
        </w:tc>
        <w:tc>
          <w:tcPr>
            <w:tcW w:w="57" w:type="dxa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6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CAIXA E EQUIVALENTES DE CAIXA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5.205,41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165,86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5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OBRIGAÇÕES TRABALHISTAS, PREVIDENCIÁRIAS E ASSISTENCIAIS A PAGAR A CURTO PR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4.861,89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29"/>
        </w:trPr>
        <w:tc>
          <w:tcPr>
            <w:tcW w:w="186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CAIXA E EQUIVALENTES DE CAIXA EM MOEDA NACIONAL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5.205,41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165,86</w:t>
            </w:r>
          </w:p>
        </w:tc>
        <w:tc>
          <w:tcPr>
            <w:tcW w:w="186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BENEFÍCIOS ASSISTENCIAIS A PAGAR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111,32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30" w:type="dxa"/>
            <w:gridSpan w:val="5"/>
            <w:shd w:val="clear" w:color="auto" w:fill="DCDCDC"/>
          </w:tcPr>
          <w:p>
     </w:p>
        </w:tc>
        <w:tc>
          <w:tcPr>
            <w:tcW w:w="2593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CAIXA E EQUIVALENTES DE CAIXA EM MOEDA NACIONAL - CONSOLIDAÇÃO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5.205,41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165,86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229" w:type="dxa"/>
            <w:gridSpan w:val="4"/>
            <w:shd w:val="clear" w:color="auto" w:fill="DCDCDC"/>
          </w:tcPr>
          <w:p>
     </w:p>
        </w:tc>
        <w:tc>
          <w:tcPr>
            <w:tcW w:w="2594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BENEFÍCIOS ASSISTENCIAIS A PAGAR - CONSOLIDAÇÃO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111,32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ESTOQUES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395,00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395,00</w:t>
            </w:r>
          </w:p>
        </w:tc>
        <w:tc>
          <w:tcPr>
            <w:tcW w:w="186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ENCARGOS SOCIAIS A PAGAR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4.750,57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72" w:type="dxa"/>
            <w:gridSpan w:val="3"/>
            <w:shd w:val="clear" w:color="auto" w:fill="DCDCDC"/>
          </w:tcPr>
          <w:p>
     </w:p>
        </w:tc>
        <w:tc>
          <w:tcPr>
            <w:tcW w:w="2651" w:type="dxa"/>
            <w:gridSpan w:val="5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ALMOXARIFADO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395,00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395,00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229" w:type="dxa"/>
            <w:gridSpan w:val="4"/>
            <w:shd w:val="clear" w:color="auto" w:fill="DCDCDC"/>
          </w:tcPr>
          <w:p>
     </w:p>
        </w:tc>
        <w:tc>
          <w:tcPr>
            <w:tcW w:w="2594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ENCARGOS SOCIAIS A PAGAR - INTRA OFSS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775,90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244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ALMOXARIFADO - CONSOLIDAÇÃO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395,00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395,00</w:t>
            </w:r>
          </w:p>
        </w:tc>
        <w:tc>
          <w:tcPr>
            <w:tcW w:w="243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594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ENCARGOS SOCIAIS A PAGAR - INTER OFSS - UNIÃO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3.974,67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6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VARIAÇÕES PATRIMONIAIS DIMINUTIVAS PAGAS ANTECIPADAMENTE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670,00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440,00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5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FORNECEDORES E CONTAS A PAGAR A CURTO PRAZO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148,52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86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ASSINATURAS E ANUIDADES A APROPRIAR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670,00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440,00</w:t>
            </w:r>
          </w:p>
        </w:tc>
        <w:tc>
          <w:tcPr>
            <w:tcW w:w="186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FORNECEDORES E CONTAS A PAGAR NACIONAIS A CURTO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148,52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30" w:type="dxa"/>
            <w:gridSpan w:val="5"/>
            <w:shd w:val="clear" w:color="auto" w:fill="DCDCDC"/>
          </w:tcPr>
          <w:p>
     </w:p>
        </w:tc>
        <w:tc>
          <w:tcPr>
            <w:tcW w:w="2593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ASSINATURAS E ANUIDADES A APROPRIAR - CONSOLIDAÇÃO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670,00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440,00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229" w:type="dxa"/>
            <w:gridSpan w:val="4"/>
            <w:shd w:val="clear" w:color="auto" w:fill="DCDCDC"/>
          </w:tcPr>
          <w:p>
     </w:p>
        </w:tc>
        <w:tc>
          <w:tcPr>
            <w:tcW w:w="2594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FORNECEDORES E CONTAS A PAGAR NACIONAIS A CURTO PRAZO - CONSOLIDAÇÃO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148,52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29"/>
        </w:trPr>
        <w:tc>
          <w:tcPr>
            <w:tcW w:w="72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65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NÃO CIRCULANTE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36.452,00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32.622,00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DEMAIS OBRIGAÇÕES A CURTO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163,20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6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IMOBILIZADO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36.452,00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32.622,00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72" w:type="dxa"/>
            <w:gridSpan w:val="3"/>
            <w:shd w:val="clear" w:color="auto" w:fill="DCDCDC"/>
          </w:tcPr>
          <w:p>
     </w:p>
        </w:tc>
        <w:tc>
          <w:tcPr>
            <w:tcW w:w="2651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VALORES RESTITUÍVEIS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163,20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86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BENS MÓVEIS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36.452,00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32.622,00</w:t>
            </w:r>
          </w:p>
        </w:tc>
        <w:tc>
          <w:tcPr>
            <w:tcW w:w="243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594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VALORES RESTITUÍVEIS - CONSOLIDAÇÃO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163,20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30" w:type="dxa"/>
            <w:gridSpan w:val="5"/>
            <w:shd w:val="clear" w:color="auto" w:fill="DCDCDC"/>
          </w:tcPr>
          <w:p>
     </w:p>
        </w:tc>
        <w:tc>
          <w:tcPr>
            <w:tcW w:w="2593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BENS MÓVEIS- CONSOLIDAÇÃO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36.452,00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32.622,00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57" w:type="dxa"/>
            <w:shd w:val="clear" w:color="auto" w:fill="DCDCDC"/>
          </w:tcPr>
          <w:p>
     </w:p>
        </w:tc>
        <w:tc>
          <w:tcPr>
            <w:tcW w:w="2766" w:type="dxa"/>
            <w:gridSpan w:val="6"/>
            <w:vAlign w:val="center"/>
            <w:shd w:val="clear" w:color="auto" w:fill="DCDCDC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PATRIMÔNIO LÍQUIDO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37.712,00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33.459,66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5359" w:type="dxa"/>
            <w:gridSpan w:val="19"/>
            <w:vMerge w:val="restart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RESULTADOS ACUMULADOS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37.712,00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33.459,66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5359" w:type="dxa"/>
            <w:gridSpan w:val="19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172" w:type="dxa"/>
            <w:gridSpan w:val="3"/>
            <w:shd w:val="clear" w:color="auto" w:fill="DCDCDC"/>
          </w:tcPr>
          <w:p>
     </w:p>
        </w:tc>
        <w:tc>
          <w:tcPr>
            <w:tcW w:w="2651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SUPERÁVITS OU DÉFICITS ACUMULADOS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37.712,00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33.459,66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5359" w:type="dxa"/>
            <w:gridSpan w:val="19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243" w:type="dxa"/>
            <w:gridSpan w:val="5"/>
            <w:tcBorders>
              <w:left w:val="single" w:sz="4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4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SUPERÁVITS OU DÉFICITS ACUMULADOS - CONSOLIDAÇÃO</w:t>
            </w:r>
          </w:p>
        </w:tc>
        <w:tc>
          <w:tcPr>
            <w:tcW w:w="28" w:type="dxa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tcBorders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37.712,00</w:t>
            </w:r>
          </w:p>
        </w:tc>
        <w:tc>
          <w:tcPr>
            <w:tcW w:w="1189" w:type="dxa"/>
            <w:vAlign w:val="center"/>
            <w:tcBorders>
              <w:left w:val="single" w:sz="4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33.459,66</w:t>
            </w:r>
          </w:p>
        </w:tc>
        <w:tc>
          <w:tcPr>
            <w:tcW w:w="57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2880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</w:t>
            </w:r>
     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42.722,41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33.622,86</w:t>
            </w:r>
          </w:p>
        </w:tc>
        <w:tc>
          <w:tcPr>
            <w:tcW w:w="2880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42.722,41</w:t>
            </w: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33.622,86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DOS ATIVOS E PASSIVOS FINANCEIROS E PERMANENTES - LEI Nº 4.320/64</w:t>
            </w:r>
          </w:p>
        </w:tc>
      </w:tr>
      <w:tr>
        <w:trPr>
          <w:trHeight w:hRule="exact" w:val="344"/>
        </w:trPr>
        <w:tc>
          <w:tcPr>
            <w:tcW w:w="8239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8"/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(l)</w:t>
            </w:r>
          </w:p>
        </w:tc>
        <w:tc>
          <w:tcPr>
            <w:tcW w:w="15" w:type="dxa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42.722,41</w:t>
            </w: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33.622,86</w:t>
            </w:r>
          </w:p>
        </w:tc>
      </w:tr>
      <w:tr>
        <w:trPr>
          <w:trHeight w:hRule="exact" w:val="215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7"/>
            <w:vAlign w:val="center"/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ATIVO FINANCEIRO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5.205,41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165,86</w:t>
            </w:r>
          </w:p>
        </w:tc>
      </w:tr>
      <w:tr>
        <w:trPr>
          <w:trHeight w:hRule="exact" w:val="229"/>
        </w:trPr>
        <w:tc>
          <w:tcPr>
            <w:tcW w:w="229" w:type="dxa"/>
            <w:gridSpan w:val="5"/>
            <w:tcBorders>
              <w:left w:val="single" w:sz="5" w:space="0" w:color="000000"/>
            </w:tcBorders>
          </w:tcPr>
          <w:p>
     </w:p>
        </w:tc>
        <w:tc>
          <w:tcPr>
            <w:tcW w:w="2651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ATIVO PERMANENTE</w:t>
            </w:r>
          </w:p>
        </w:tc>
        <w:tc>
          <w:tcPr>
            <w:tcW w:w="5344" w:type="dxa"/>
            <w:gridSpan w:val="17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37.517,00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33.457,00</w:t>
            </w:r>
          </w:p>
        </w:tc>
      </w:tr>
      <w:tr>
        <w:trPr>
          <w:trHeight w:hRule="exact" w:val="230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7"/>
            <w:vAlign w:val="center"/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(ll)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5.205,41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163,20</w:t>
            </w:r>
          </w:p>
        </w:tc>
      </w:tr>
      <w:tr>
        <w:trPr>
          <w:trHeight w:hRule="exact" w:val="229"/>
        </w:trPr>
        <w:tc>
          <w:tcPr>
            <w:tcW w:w="229" w:type="dxa"/>
            <w:gridSpan w:val="5"/>
            <w:tcBorders>
              <w:left w:val="single" w:sz="5" w:space="0" w:color="000000"/>
            </w:tcBorders>
          </w:tcPr>
          <w:p>
     </w:p>
        </w:tc>
        <w:tc>
          <w:tcPr>
            <w:tcW w:w="2651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PASSIVO FINANCEIRO</w:t>
            </w:r>
          </w:p>
        </w:tc>
        <w:tc>
          <w:tcPr>
            <w:tcW w:w="5344" w:type="dxa"/>
            <w:gridSpan w:val="17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5.205,41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163,20</w:t>
            </w:r>
          </w:p>
        </w:tc>
      </w:tr>
      <w:tr>
        <w:trPr>
          <w:trHeight w:hRule="exact" w:val="215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7"/>
            <w:vAlign w:val="center"/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PASSIVO PERMANENTE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14" w:type="dxa"/>
            <w:tcBorders>
              <w:left w:val="single" w:sz="5" w:space="0" w:color="000000"/>
              <w:bottom w:val="single" w:sz="5" w:space="0" w:color="000000"/>
            </w:tcBorders>
          </w:tcPr>
          <w:p>
     </w:p>
        </w:tc>
        <w:tc>
          <w:tcPr>
            <w:tcW w:w="8210" w:type="dxa"/>
            <w:gridSpan w:val="27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SALDO PATRIMONIAL (l - ll)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37.517,00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33.459,66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DAS CONTAS DE COMPENSAÇÃO - LEI Nº 4.320/64</w:t>
            </w:r>
          </w:p>
        </w:tc>
      </w:tr>
      <w:tr>
        <w:trPr>
          <w:trHeight w:hRule="exact" w:val="329"/>
        </w:trPr>
        <w:tc>
          <w:tcPr>
            <w:tcW w:w="8239" w:type="dxa"/>
            <w:gridSpan w:val="2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115"/>
        </w:trPr>
        <w:tc>
          <w:tcPr>
            <w:tcW w:w="8224" w:type="dxa"/>
            <w:gridSpan w:val="28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ATOS POTENCIAIS ATIVOS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GARANTIAS E CONTRAGARANTIAS RECEBIDAS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4341" w:type="dxa"/>
            <w:gridSpan w:val="18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DIREITOS CONVENIADOS E OUTROS INSTRUMENTOS CONGÊNERES</w:t>
            </w:r>
          </w:p>
        </w:tc>
        <w:tc>
          <w:tcPr>
            <w:tcW w:w="3883" w:type="dxa"/>
            <w:gridSpan w:val="10"/>
            <w:shd w:val="clear" w:color="auto" w:fill="FFFFFF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DIREITOS CONTRATUAIS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4341" w:type="dxa"/>
            <w:gridSpan w:val="18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OUTROS ATOS POTENCIAIS ATIVOS</w:t>
            </w:r>
          </w:p>
        </w:tc>
        <w:tc>
          <w:tcPr>
            <w:tcW w:w="3883" w:type="dxa"/>
            <w:gridSpan w:val="10"/>
            <w:shd w:val="clear" w:color="auto" w:fill="FFFFFF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  <w:t xml:space="preserve">        TOTAL DOS ATOS POTENCIAIS ATIVOS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4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GARANTIAS E CONTRAGARANTIAS CONCEDIDAS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OBRIGAÇÕES CONVENIADAS E OUTROS INSTRUMENTOS CONGÊNERES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OBRIGAÇÕES CONTRATUAIS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OUTROS 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8224" w:type="dxa"/>
            <w:gridSpan w:val="28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  <w:t xml:space="preserve">        TOTAL DOS 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DO SUPERÁVIT / DÉFICIT FINANCEIRO</w:t>
            </w:r>
          </w:p>
        </w:tc>
      </w:tr>
      <w:tr>
        <w:trPr>
          <w:trHeight w:hRule="exact" w:val="229"/>
        </w:trPr>
        <w:tc>
          <w:tcPr>
            <w:tcW w:w="7780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DESTINAÇÃO DE RECURSOS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 ATUAL</w:t>
            </w:r>
     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 ANTERIOR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</w:t>
            </w:r>
          </w:p>
        </w:tc>
        <w:tc>
          <w:tcPr>
            <w:tcW w:w="7221" w:type="dxa"/>
            <w:gridSpan w:val="18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Recurso Livre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2,66</w:t>
            </w:r>
          </w:p>
        </w:tc>
      </w:tr>
      <w:tr>
        <w:trPr>
          <w:trHeight w:hRule="exact" w:val="229"/>
        </w:trPr>
        <w:tc>
          <w:tcPr>
            <w:tcW w:w="7780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Total das Fontes de Recursos: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2,66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39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90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214"/>
        </w:trPr>
        <w:tc>
          <w:tcPr>
            <w:tcW w:w="4055" w:type="dxa"/>
            <w:gridSpan w:val="1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18"/>
          </w:tcPr>
          <w:p>
     </w:p>
        </w:tc>
        <w:tc>
          <w:tcPr>
            <w:tcW w:w="1805" w:type="dxa"/>
            <w:gridSpan w:val="5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26/10/2018 13:34:05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8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</w:t>
            </w:r>
          </w:p>
        </w:tc>
        <w:tc>
          <w:tcPr>
            <w:tcW w:w="293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SÃO JOSÉ DO HERVAL</w:t>
            </w:r>
          </w:p>
        </w:tc>
        <w:tc>
          <w:tcPr>
            <w:tcW w:w="115" w:type="dxa"/>
            <w:gridSpan w:val="2"/>
          </w:tcPr>
          <w:p>
     </w:p>
        </w:tc>
        <w:tc>
          <w:tcPr>
            <w:tcW w:w="3496" w:type="dxa"/>
            <w:gridSpan w:val="10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2034" w:type="dxa"/>
            <w:gridSpan w:val="10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2</w:t>
            </w:r>
          </w:p>
        </w:tc>
      </w:tr>
      <w:tr>
        <w:trPr>
          <w:trHeight w:hRule="exact" w:val="114"/>
        </w:trPr>
        <w:tc>
          <w:tcPr>
            <w:tcW w:w="3611" w:type="dxa"/>
            <w:gridSpan w:val="15"/>
          </w:tcPr>
          <w:p>
     </w:p>
        </w:tc>
        <w:tc>
          <w:tcPr>
            <w:tcW w:w="3496" w:type="dxa"/>
            <w:gridSpan w:val="10"/>
            <w:vMerge w:val="restart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3610" w:type="dxa"/>
            <w:gridSpan w:val="14"/>
          </w:tcPr>
          <w:p>
     </w:p>
        </w:tc>
      </w:tr>
      <w:tr>
        <w:trPr>
          <w:trHeight w:hRule="exact" w:val="101"/>
        </w:trPr>
        <w:tc>
          <w:tcPr>
            <w:tcW w:w="501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</w:t>
            </w:r>
          </w:p>
        </w:tc>
        <w:tc>
          <w:tcPr>
            <w:tcW w:w="3052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Exercício de 2017</w:t>
            </w:r>
          </w:p>
        </w:tc>
        <w:tc>
          <w:tcPr>
            <w:tcW w:w="58" w:type="dxa"/>
          </w:tcPr>
          <w:p>
     </w:p>
        </w:tc>
        <w:tc>
          <w:tcPr>
            <w:tcW w:w="3496" w:type="dxa"/>
            <w:gridSpan w:val="10"/>
            <w:vMerge/>
            <w:shd w:val="clear" w:color="auto" w:fill="FFFFFF"/>
          </w:tcPr>
          <w:p>
     </w:p>
        </w:tc>
        <w:tc>
          <w:tcPr>
            <w:tcW w:w="3610" w:type="dxa"/>
            <w:gridSpan w:val="14"/>
          </w:tcPr>
          <w:p>
     </w:p>
        </w:tc>
      </w:tr>
      <w:tr>
        <w:trPr>
          <w:trHeight w:hRule="exact" w:val="114"/>
        </w:trPr>
        <w:tc>
          <w:tcPr>
            <w:tcW w:w="501" w:type="dxa"/>
            <w:gridSpan w:val="7"/>
            <w:vMerge/>
            <w:shd w:val="clear" w:color="auto" w:fill="FFFFFF"/>
          </w:tcPr>
          <w:p>
     </w:p>
        </w:tc>
        <w:tc>
          <w:tcPr>
            <w:tcW w:w="3052" w:type="dxa"/>
            <w:gridSpan w:val="7"/>
            <w:vMerge/>
            <w:shd w:val="clear" w:color="auto" w:fill="FFFFFF"/>
          </w:tcPr>
          <w:p>
     </w:p>
        </w:tc>
        <w:tc>
          <w:tcPr>
            <w:tcW w:w="7164" w:type="dxa"/>
            <w:gridSpan w:val="25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9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0001 - CAM. MUN. VEREADORES SÃO JOSÉ DO HERVAL</w:t>
            </w:r>
          </w:p>
        </w:tc>
      </w:tr>
      <w:tr>
        <w:trPr>
          <w:trHeight w:hRule="exact" w:val="946"/>
        </w:trPr>
        <w:tc>
          <w:tcPr>
            <w:tcW w:w="10717" w:type="dxa"/>
            <w:gridSpan w:val="39"/>
            <w:vAlign w:val="center"/>
            <w:shd w:val="clear" w:color="auto" w:fill="FFFFFF"/>
          </w:tcPr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___________________________________________     ___________________________________________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LAURO RODRIGUES VIEIRA - PREFEITO MUNICIPAL              MARTA BALLETRERI DA SILVA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CPF 44866771020                            001.614.170-94 080642/0-1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080642/0-1        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 CONTADORA                                              </w:t>
            </w:r>
          </w:p>
        </w:tc>
      </w:tr>
      <w:tr>
        <w:trPr>
          <w:trHeight w:hRule="exact" w:val="143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432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189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1189"/>
        </w:trPr>
        <w:tc>
          <w:tcPr>
            <w:tcW w:w="10717" w:type="dxa"/>
            <w:gridSpan w:val="39"/>
          </w:tcPr>
          <w:p>
     </w:p>
        </w:tc>
      </w:tr>
      <w:tr>
        <w:trPr>
          <w:trHeight w:hRule="exact" w:val="215"/>
        </w:trPr>
        <w:tc>
          <w:tcPr>
            <w:tcW w:w="4055" w:type="dxa"/>
            <w:gridSpan w:val="1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18"/>
          </w:tcPr>
          <w:p>
     </w:p>
        </w:tc>
        <w:tc>
          <w:tcPr>
            <w:tcW w:w="1805" w:type="dxa"/>
            <w:gridSpan w:val="5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26/10/2018 13:34:05</w:t>
            </w:r>
          </w:p>
        </w:tc>
      </w:tr>
    </w:tbl>
    <w:sectPr>
      <w:pgSz w:w="11906" w:h="1700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</w:font>
  <w:font w:name="Calibri">
 </w:font>
  <w:font w:name="Cambria">
 </w:font>
  <w:font w:name="Arial">
 </w:font>
  <w:font w:name="Lucida Console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2018-10-26T13:35:22Z</dcterms:created>
  <dcterms:modified xsi:type="dcterms:W3CDTF">2018-10-26T13:35:22Z</dcterms:modified>
</cp:coreProperties>
</file>