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23"/>
      </w:pPr>
      <w:r>
        <w:rPr>
          <w:w w:val="105"/>
        </w:rPr>
        <w:t>Município: SÃO JOSÉ DO HERVAL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23"/>
      </w:pPr>
      <w:r>
        <w:rPr>
          <w:w w:val="105"/>
        </w:rPr>
        <w:t>Período: Exercício de 2017</w:t>
      </w:r>
    </w:p>
    <w:p>
      <w:pPr>
        <w:pStyle w:val="BodyText"/>
        <w:spacing w:before="100"/>
        <w:ind w:left="123"/>
      </w:pPr>
      <w:r>
        <w:rPr>
          <w:w w:val="105"/>
        </w:rPr>
        <w:t>Unidade Gestora: 0001 - CAM. MUN. VEREADORES SÃO JOSÉ DO HERVAL</w:t>
      </w:r>
    </w:p>
    <w:p>
      <w:pPr>
        <w:pStyle w:val="BodyText"/>
        <w:spacing w:before="79"/>
        <w:ind w:left="82"/>
        <w:jc w:val="center"/>
      </w:pPr>
      <w:r>
        <w:rPr/>
        <w:br w:type="column"/>
      </w:r>
      <w:r>
        <w:rPr>
          <w:w w:val="105"/>
        </w:rPr>
        <w:t>UF: Estado do Rio Grande do Sul</w:t>
      </w:r>
    </w:p>
    <w:p>
      <w:pPr>
        <w:spacing w:before="98"/>
        <w:ind w:left="83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DEMONSTRAÇÃO DAS VARIAÇÕES PATRIMONIAIS</w:t>
      </w:r>
    </w:p>
    <w:p>
      <w:pPr>
        <w:pStyle w:val="BodyText"/>
        <w:spacing w:before="79"/>
        <w:ind w:left="124"/>
      </w:pPr>
      <w:r>
        <w:rPr/>
        <w:br w:type="column"/>
      </w:r>
      <w:r>
        <w:rPr>
          <w:w w:val="105"/>
        </w:rPr>
        <w:t>Página 1 de 1</w:t>
      </w:r>
    </w:p>
    <w:p>
      <w:pPr>
        <w:spacing w:after="0"/>
        <w:sectPr>
          <w:type w:val="continuous"/>
          <w:pgSz w:w="16840" w:h="11910" w:orient="landscape"/>
          <w:pgMar w:top="500" w:bottom="280" w:left="460" w:right="440"/>
          <w:cols w:num="3" w:equalWidth="0">
            <w:col w:w="4187" w:space="2243"/>
            <w:col w:w="3484" w:space="4992"/>
            <w:col w:w="1034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1360"/>
        <w:gridCol w:w="1190"/>
        <w:gridCol w:w="5385"/>
        <w:gridCol w:w="1246"/>
        <w:gridCol w:w="1246"/>
      </w:tblGrid>
      <w:tr>
        <w:trPr>
          <w:trHeight w:val="325" w:hRule="atLeast"/>
        </w:trPr>
        <w:tc>
          <w:tcPr>
            <w:tcW w:w="7822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3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AUMENTATIVAS</w:t>
            </w:r>
          </w:p>
        </w:tc>
        <w:tc>
          <w:tcPr>
            <w:tcW w:w="7877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DIMINUTIVAS</w:t>
            </w:r>
          </w:p>
        </w:tc>
      </w:tr>
      <w:tr>
        <w:trPr>
          <w:trHeight w:val="438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13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AUMENTATIVAS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536" w:right="163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372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15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DIMINUTIVAS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81" w:right="104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3" w:right="104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76" w:hRule="atLeast"/>
        </w:trPr>
        <w:tc>
          <w:tcPr>
            <w:tcW w:w="5272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RECEBIDAS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spacing w:before="69"/>
              <w:jc w:val="right"/>
              <w:rPr>
                <w:sz w:val="11"/>
              </w:rPr>
            </w:pPr>
            <w:r>
              <w:rPr>
                <w:sz w:val="11"/>
              </w:rPr>
              <w:t>414.746,09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376.012,69</w:t>
            </w:r>
          </w:p>
        </w:tc>
        <w:tc>
          <w:tcPr>
            <w:tcW w:w="5385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PESSOAL E ENCARGOS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331.232,76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304.003,56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414.746,09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376.012,69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REMUNERAÇÃO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272.667,26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249.285,40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ENCARGOS PATRONAIS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56.786,44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52.881,24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BENEFÍCIOS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1.779,06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1.836,92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1.437,84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1.218,68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OUTROS 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1.437,84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1.218,68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USO DE BENS, SERVIÇOS E CONSUMO DE CAPITAL FIXO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63.345,73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40.544,47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USO DE MATERIAL DE CONSUMO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8.472,24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5.518,43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SERVIÇOS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54.873,49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35.026,04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14.477,42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29.900,00</w:t>
            </w:r>
          </w:p>
        </w:tc>
      </w:tr>
      <w:tr>
        <w:trPr>
          <w:trHeight w:val="275" w:hRule="atLeast"/>
        </w:trPr>
        <w:tc>
          <w:tcPr>
            <w:tcW w:w="527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14.477,42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29.900,00</w:t>
            </w:r>
          </w:p>
        </w:tc>
      </w:tr>
      <w:tr>
        <w:trPr>
          <w:trHeight w:val="211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0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Aumentativas (I)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414.746,09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before="4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376.012,69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0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Diminutivas (II)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410.493,75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375.666,71</w:t>
            </w:r>
          </w:p>
        </w:tc>
      </w:tr>
      <w:tr>
        <w:trPr>
          <w:trHeight w:val="211" w:hRule="atLeast"/>
        </w:trPr>
        <w:tc>
          <w:tcPr>
            <w:tcW w:w="15699" w:type="dxa"/>
            <w:gridSpan w:val="6"/>
            <w:shd w:val="clear" w:color="auto" w:fill="D7D7D7"/>
          </w:tcPr>
          <w:p>
            <w:pPr>
              <w:pStyle w:val="TableParagraph"/>
              <w:spacing w:before="28"/>
              <w:ind w:left="47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PATRIMONIAL DO PERÍODO (I-II): 4.252,34</w:t>
            </w:r>
          </w:p>
        </w:tc>
      </w:tr>
    </w:tbl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7"/>
        <w:gridCol w:w="1247"/>
        <w:gridCol w:w="1247"/>
      </w:tblGrid>
      <w:tr>
        <w:trPr>
          <w:trHeight w:val="325" w:hRule="atLeast"/>
        </w:trPr>
        <w:tc>
          <w:tcPr>
            <w:tcW w:w="7851" w:type="dxa"/>
            <w:gridSpan w:val="3"/>
            <w:shd w:val="clear" w:color="auto" w:fill="D7D7D7"/>
          </w:tcPr>
          <w:p>
            <w:pPr>
              <w:pStyle w:val="TableParagraph"/>
              <w:spacing w:before="31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QUALITATIVAS</w:t>
            </w:r>
          </w:p>
          <w:p>
            <w:pPr>
              <w:pStyle w:val="TableParagraph"/>
              <w:spacing w:before="5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(Decorrentes da execução orçamentária)</w:t>
            </w:r>
          </w:p>
        </w:tc>
      </w:tr>
      <w:tr>
        <w:trPr>
          <w:trHeight w:val="438" w:hRule="atLeast"/>
        </w:trPr>
        <w:tc>
          <w:tcPr>
            <w:tcW w:w="5357" w:type="dxa"/>
            <w:shd w:val="clear" w:color="auto" w:fill="D7D7D7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0"/>
              <w:ind w:left="2182" w:right="21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79" w:right="107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0" w:right="107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3.830,00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1.720,00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Desincorporação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257.403809pt,10.505191pt" to="405.597776pt,10.505191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422.845062pt,10.505191pt" to="571.174938pt,10.505191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8618" w:val="left" w:leader="none"/>
        </w:tabs>
        <w:spacing w:line="100" w:lineRule="exact"/>
        <w:ind w:left="4688"/>
        <w:rPr>
          <w:rFonts w:ascii="Lucida Console"/>
        </w:rPr>
      </w:pPr>
      <w:r>
        <w:rPr>
          <w:rFonts w:ascii="Lucida Console"/>
          <w:w w:val="105"/>
        </w:rPr>
        <w:t>LAURO RODRIGUES VIEIRA -</w:t>
      </w:r>
      <w:r>
        <w:rPr>
          <w:rFonts w:ascii="Lucida Console"/>
          <w:spacing w:val="-42"/>
          <w:w w:val="105"/>
        </w:rPr>
        <w:t> </w:t>
      </w:r>
      <w:r>
        <w:rPr>
          <w:rFonts w:ascii="Lucida Console"/>
          <w:w w:val="105"/>
        </w:rPr>
        <w:t>PREFEITO</w:t>
      </w:r>
      <w:r>
        <w:rPr>
          <w:rFonts w:ascii="Lucida Console"/>
          <w:spacing w:val="-10"/>
          <w:w w:val="105"/>
        </w:rPr>
        <w:t> </w:t>
      </w:r>
      <w:r>
        <w:rPr>
          <w:rFonts w:ascii="Lucida Console"/>
          <w:w w:val="105"/>
        </w:rPr>
        <w:t>MUNICIPAL</w:t>
        <w:tab/>
        <w:t>MARTA BALLETRERI DA</w:t>
      </w:r>
      <w:r>
        <w:rPr>
          <w:rFonts w:ascii="Lucida Console"/>
          <w:spacing w:val="-5"/>
          <w:w w:val="105"/>
        </w:rPr>
        <w:t> </w:t>
      </w:r>
      <w:r>
        <w:rPr>
          <w:rFonts w:ascii="Lucida Console"/>
          <w:w w:val="105"/>
        </w:rPr>
        <w:t>SILVA</w:t>
      </w:r>
    </w:p>
    <w:p>
      <w:pPr>
        <w:pStyle w:val="BodyText"/>
        <w:tabs>
          <w:tab w:pos="8619" w:val="left" w:leader="none"/>
        </w:tabs>
        <w:spacing w:line="249" w:lineRule="auto" w:before="4"/>
        <w:ind w:left="9103" w:right="5592" w:hanging="3450"/>
        <w:rPr>
          <w:rFonts w:ascii="Lucida Console"/>
        </w:rPr>
      </w:pPr>
      <w:r>
        <w:rPr>
          <w:rFonts w:ascii="Lucida Console"/>
          <w:w w:val="105"/>
        </w:rPr>
        <w:t>CPF</w:t>
      </w:r>
      <w:r>
        <w:rPr>
          <w:rFonts w:ascii="Lucida Console"/>
          <w:spacing w:val="-13"/>
          <w:w w:val="105"/>
        </w:rPr>
        <w:t> </w:t>
      </w:r>
      <w:r>
        <w:rPr>
          <w:rFonts w:ascii="Lucida Console"/>
          <w:w w:val="105"/>
        </w:rPr>
        <w:t>44866771020</w:t>
        <w:tab/>
        <w:t>001.614.170-94</w:t>
      </w:r>
      <w:r>
        <w:rPr>
          <w:rFonts w:ascii="Lucida Console"/>
          <w:spacing w:val="-27"/>
          <w:w w:val="105"/>
        </w:rPr>
        <w:t> </w:t>
      </w:r>
      <w:r>
        <w:rPr>
          <w:rFonts w:ascii="Lucida Console"/>
          <w:w w:val="105"/>
        </w:rPr>
        <w:t>080642/0-1 080642/0-1</w:t>
      </w:r>
    </w:p>
    <w:p>
      <w:pPr>
        <w:pStyle w:val="BodyText"/>
        <w:spacing w:before="1"/>
        <w:ind w:left="9150" w:right="6123"/>
        <w:jc w:val="center"/>
        <w:rPr>
          <w:rFonts w:ascii="Lucida Console"/>
        </w:rPr>
      </w:pPr>
      <w:r>
        <w:rPr>
          <w:rFonts w:ascii="Lucida Console"/>
          <w:w w:val="105"/>
        </w:rPr>
        <w:t>CONTADORA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17"/>
        </w:rPr>
      </w:pPr>
      <w:r>
        <w:rPr/>
        <w:pict>
          <v:line style="position:absolute;mso-position-horizontal-relative:page;mso-position-vertical-relative:paragraph;z-index:-976;mso-wrap-distance-left:0;mso-wrap-distance-right:0" from="28.35pt,10.959844pt" to="813.54pt,10.959844pt" stroked="true" strokeweight=".6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Lucida Console"/>
          <w:sz w:val="10"/>
        </w:rPr>
      </w:pPr>
    </w:p>
    <w:p>
      <w:pPr>
        <w:pStyle w:val="BodyText"/>
        <w:spacing w:line="249" w:lineRule="auto"/>
        <w:ind w:left="123" w:right="10438"/>
      </w:pPr>
      <w:r>
        <w:rPr>
          <w:w w:val="105"/>
        </w:rPr>
        <w:t>Os valores apresentados na coluna “Exercício Anterior” referem-se ao saldo final do exercício anterior. Os valores apresentados consideram a movimentação das contas Intra OFSS.</w:t>
      </w:r>
    </w:p>
    <w:p>
      <w:pPr>
        <w:pStyle w:val="BodyText"/>
        <w:tabs>
          <w:tab w:pos="14105" w:val="left" w:leader="none"/>
        </w:tabs>
        <w:spacing w:before="95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17/10/2018</w:t>
      </w:r>
      <w:r>
        <w:rPr>
          <w:spacing w:val="-13"/>
          <w:w w:val="105"/>
        </w:rPr>
        <w:t> </w:t>
      </w:r>
      <w:r>
        <w:rPr>
          <w:w w:val="105"/>
        </w:rPr>
        <w:t>15:00:36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6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Report</dc:subject>
  <dc:title>Report</dc:title>
  <dcterms:created xsi:type="dcterms:W3CDTF">2018-10-26T15:57:01Z</dcterms:created>
  <dcterms:modified xsi:type="dcterms:W3CDTF">2018-10-26T15:57:01Z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2018-10-26T00:00:00Z</vt:filetime>
  </property>
</Properties>
</file>